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5FC3305" w:rsidR="00E90E49" w:rsidRPr="00B471BB" w:rsidRDefault="00E90E49" w:rsidP="00E35559">
      <w:pPr>
        <w:pStyle w:val="3GPPHeader"/>
        <w:spacing w:after="60"/>
        <w:rPr>
          <w:sz w:val="32"/>
          <w:szCs w:val="32"/>
        </w:rPr>
      </w:pPr>
      <w:r w:rsidRPr="00CE0424">
        <w:t>3GPP TSG-RAN WG</w:t>
      </w:r>
      <w:r w:rsidR="000E24EA">
        <w:t>4</w:t>
      </w:r>
      <w:r w:rsidRPr="00CE0424">
        <w:t xml:space="preserve"> </w:t>
      </w:r>
      <w:r w:rsidR="008F1C4E">
        <w:t xml:space="preserve">Meeting </w:t>
      </w:r>
      <w:r w:rsidRPr="00CE0424">
        <w:t>#</w:t>
      </w:r>
      <w:r w:rsidR="000E24EA">
        <w:t>106</w:t>
      </w:r>
      <w:r w:rsidRPr="00CE0424">
        <w:tab/>
      </w:r>
      <w:r w:rsidR="00091557" w:rsidRPr="00B471BB">
        <w:rPr>
          <w:sz w:val="32"/>
          <w:szCs w:val="32"/>
        </w:rPr>
        <w:t>R</w:t>
      </w:r>
      <w:r w:rsidR="00AF2169" w:rsidRPr="00B471BB">
        <w:rPr>
          <w:sz w:val="32"/>
          <w:szCs w:val="32"/>
        </w:rPr>
        <w:t>4</w:t>
      </w:r>
      <w:r w:rsidR="00091557" w:rsidRPr="00B471BB">
        <w:rPr>
          <w:sz w:val="32"/>
          <w:szCs w:val="32"/>
        </w:rPr>
        <w:t>-</w:t>
      </w:r>
      <w:r w:rsidR="00AF2169" w:rsidRPr="00B471BB">
        <w:rPr>
          <w:sz w:val="32"/>
          <w:szCs w:val="32"/>
        </w:rPr>
        <w:t>23</w:t>
      </w:r>
      <w:r w:rsidR="00B471BB" w:rsidRPr="00B471BB">
        <w:rPr>
          <w:sz w:val="32"/>
          <w:szCs w:val="32"/>
        </w:rPr>
        <w:t>01874</w:t>
      </w:r>
    </w:p>
    <w:p w14:paraId="0CE7B7E6" w14:textId="638AA060" w:rsidR="00E90E49" w:rsidRPr="00CE0424" w:rsidRDefault="003D2888" w:rsidP="00311702">
      <w:pPr>
        <w:pStyle w:val="3GPPHeader"/>
      </w:pPr>
      <w:r w:rsidRPr="00B471BB">
        <w:t>Athens</w:t>
      </w:r>
      <w:r w:rsidR="0027144F" w:rsidRPr="00B471BB">
        <w:t xml:space="preserve">, </w:t>
      </w:r>
      <w:r w:rsidRPr="00B471BB">
        <w:t>Greece</w:t>
      </w:r>
      <w:r w:rsidR="0027144F" w:rsidRPr="00B471BB">
        <w:t xml:space="preserve">, </w:t>
      </w:r>
      <w:r w:rsidRPr="00B471BB">
        <w:t>27</w:t>
      </w:r>
      <w:r w:rsidR="001D53E7" w:rsidRPr="00B471BB">
        <w:t xml:space="preserve">th </w:t>
      </w:r>
      <w:r w:rsidRPr="00B471BB">
        <w:t xml:space="preserve">February </w:t>
      </w:r>
      <w:r w:rsidR="001D53E7" w:rsidRPr="00B471BB">
        <w:t xml:space="preserve">– </w:t>
      </w:r>
      <w:r w:rsidRPr="00B471BB">
        <w:t>3rd</w:t>
      </w:r>
      <w:r w:rsidR="00A02D66" w:rsidRPr="00B471BB">
        <w:t xml:space="preserve"> March</w:t>
      </w:r>
      <w:r w:rsidR="00C37CB2" w:rsidRPr="00B471BB">
        <w:t xml:space="preserve"> </w:t>
      </w:r>
      <w:r w:rsidR="0027144F" w:rsidRPr="00B471BB">
        <w:t>20</w:t>
      </w:r>
      <w:r w:rsidR="00A02D66" w:rsidRPr="00B471BB">
        <w:t>23</w:t>
      </w:r>
    </w:p>
    <w:p w14:paraId="3086AC07" w14:textId="77777777" w:rsidR="00E90E49" w:rsidRPr="00CE0424" w:rsidRDefault="00E90E49" w:rsidP="00357380">
      <w:pPr>
        <w:pStyle w:val="3GPPHeader"/>
      </w:pPr>
    </w:p>
    <w:p w14:paraId="3982483C" w14:textId="43357446"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9B296A">
        <w:rPr>
          <w:sz w:val="22"/>
          <w:lang w:val="sv-FI"/>
        </w:rPr>
        <w:t>9.13.1.1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C62DAA1" w:rsidR="00E90E49" w:rsidRPr="00CE0424" w:rsidRDefault="003D3C45" w:rsidP="00311702">
      <w:pPr>
        <w:pStyle w:val="3GPPHeader"/>
        <w:rPr>
          <w:sz w:val="22"/>
        </w:rPr>
      </w:pPr>
      <w:r>
        <w:rPr>
          <w:sz w:val="22"/>
        </w:rPr>
        <w:t>Title:</w:t>
      </w:r>
      <w:r w:rsidR="00E90E49" w:rsidRPr="00CE0424">
        <w:rPr>
          <w:sz w:val="22"/>
        </w:rPr>
        <w:tab/>
      </w:r>
      <w:r w:rsidR="00734C76">
        <w:rPr>
          <w:sz w:val="22"/>
        </w:rPr>
        <w:t xml:space="preserve">On </w:t>
      </w:r>
      <w:r w:rsidR="003D2888">
        <w:rPr>
          <w:sz w:val="22"/>
        </w:rPr>
        <w:t>asynchronous operation and CLI for ATG</w:t>
      </w:r>
    </w:p>
    <w:p w14:paraId="025260C1" w14:textId="567795DD" w:rsidR="00E90E49" w:rsidRPr="00CE0424" w:rsidRDefault="00E90E49" w:rsidP="00D546FF">
      <w:pPr>
        <w:pStyle w:val="3GPPHeader"/>
        <w:rPr>
          <w:sz w:val="22"/>
        </w:rPr>
      </w:pPr>
      <w:r w:rsidRPr="00CE0424">
        <w:rPr>
          <w:sz w:val="22"/>
        </w:rPr>
        <w:t>Document for:</w:t>
      </w:r>
      <w:r w:rsidRPr="00CE0424">
        <w:rPr>
          <w:sz w:val="22"/>
        </w:rPr>
        <w:tab/>
      </w:r>
      <w:r w:rsidR="003D2888">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32ABB7A6" w:rsidR="00477768" w:rsidRPr="00CE0424" w:rsidRDefault="00854AFA" w:rsidP="00CE0424">
      <w:pPr>
        <w:pStyle w:val="BodyText"/>
      </w:pPr>
      <w:r>
        <w:t xml:space="preserve">Work is ongoing to determine adjacent channel co-existence for ATG assuming synchronization between the ATG BS and the TN BS. In this contribution, we further consider issues relating to the ATG guard period and </w:t>
      </w:r>
      <w:r w:rsidR="00054737">
        <w:t>potential cross-link interferences.</w:t>
      </w:r>
    </w:p>
    <w:p w14:paraId="60123794" w14:textId="77777777" w:rsidR="004000E8" w:rsidRPr="00CE0424" w:rsidRDefault="00230D18" w:rsidP="00CE0424">
      <w:pPr>
        <w:pStyle w:val="Heading1"/>
      </w:pPr>
      <w:bookmarkStart w:id="0" w:name="_Ref178064866"/>
      <w:r>
        <w:t>2</w:t>
      </w:r>
      <w:r>
        <w:tab/>
      </w:r>
      <w:r w:rsidR="004000E8" w:rsidRPr="00CE0424">
        <w:t>Discussion</w:t>
      </w:r>
      <w:bookmarkEnd w:id="0"/>
    </w:p>
    <w:p w14:paraId="35EB090D" w14:textId="70F86234" w:rsidR="00F63950" w:rsidRDefault="00230D18" w:rsidP="00F63950">
      <w:pPr>
        <w:pStyle w:val="Heading2"/>
      </w:pPr>
      <w:r>
        <w:t>2.1</w:t>
      </w:r>
      <w:r>
        <w:tab/>
      </w:r>
      <w:r w:rsidR="007F16AE">
        <w:t>Guard period for ATG</w:t>
      </w:r>
    </w:p>
    <w:p w14:paraId="46D355AE" w14:textId="4EFF7560" w:rsidR="00B20876" w:rsidRDefault="00B20876" w:rsidP="00CE0424">
      <w:pPr>
        <w:pStyle w:val="BodyText"/>
      </w:pPr>
      <w:r>
        <w:t>For terrestrial TDD networks, a guard period is needed to account for propagation time from BS towards other cells that they could possibly cause interference to. The GP ensures that, when accounting for propagation delay between cell sites,</w:t>
      </w:r>
      <w:r w:rsidR="00EC7371">
        <w:t xml:space="preserve"> a BS in receive mode does not receive interference from the end </w:t>
      </w:r>
      <w:r w:rsidR="00B15218">
        <w:t xml:space="preserve">period </w:t>
      </w:r>
      <w:r w:rsidR="00EC7371">
        <w:t>of another BS transmission.</w:t>
      </w:r>
    </w:p>
    <w:p w14:paraId="2B23A69F" w14:textId="1668E345" w:rsidR="00EC7371" w:rsidRDefault="00EC7371" w:rsidP="00CE0424">
      <w:pPr>
        <w:pStyle w:val="BodyText"/>
      </w:pPr>
      <w:r>
        <w:t xml:space="preserve">For ATG networks, due to the upwards beamforming and the larger distance between BS compared to TN, it might be speculated that a larger GP may not be needed for interference management </w:t>
      </w:r>
      <w:r w:rsidR="00C13511">
        <w:t xml:space="preserve">between ATG BS </w:t>
      </w:r>
      <w:r>
        <w:t>(although this has not been investigated).</w:t>
      </w:r>
    </w:p>
    <w:p w14:paraId="2F5E8FB3" w14:textId="4ABE402A" w:rsidR="00EC7371" w:rsidRPr="00092515" w:rsidRDefault="00EC7371" w:rsidP="00CE0424">
      <w:pPr>
        <w:pStyle w:val="BodyText"/>
      </w:pPr>
      <w:r>
        <w:t xml:space="preserve">However, </w:t>
      </w:r>
      <w:r w:rsidR="00313AF5">
        <w:t>another constraint on TDD systems is that the UE cannot transmit and receive simultaneously. Compared to the BS, the UE receives the downlink with a delay equal to the propagation time</w:t>
      </w:r>
      <w:r w:rsidR="00704F4A">
        <w:t xml:space="preserve">. On the other hand, in order to ensure correct </w:t>
      </w:r>
      <w:r w:rsidR="00704F4A" w:rsidRPr="00092515">
        <w:t>timing at the BS, the UE needs to start transmitting uplink</w:t>
      </w:r>
      <w:r w:rsidR="005C03BC" w:rsidRPr="00092515">
        <w:t xml:space="preserve"> in advance, by one propagation time</w:t>
      </w:r>
      <w:r w:rsidR="0028568F" w:rsidRPr="00092515">
        <w:t xml:space="preserve"> compared to the BS timing</w:t>
      </w:r>
      <w:r w:rsidR="005C03BC" w:rsidRPr="00092515">
        <w:t>. Thus, to avoid a DL-UL collision at the UE, a GP equal to twice the propagation time is needed. For a 100km cell range, this equates to 0.67msec and for a 3</w:t>
      </w:r>
      <w:r w:rsidR="00DD5035" w:rsidRPr="00092515">
        <w:t>00</w:t>
      </w:r>
      <w:r w:rsidR="005C03BC" w:rsidRPr="00092515">
        <w:t>km cell range, 2msec.</w:t>
      </w:r>
      <w:r w:rsidR="006F2DC7" w:rsidRPr="00092515">
        <w:t xml:space="preserve"> The GP could this in principle be one or several slots.</w:t>
      </w:r>
    </w:p>
    <w:p w14:paraId="0A979632" w14:textId="61DCEC2D" w:rsidR="00CA3246" w:rsidRDefault="00CA3246" w:rsidP="00CE0424">
      <w:pPr>
        <w:pStyle w:val="BodyText"/>
      </w:pPr>
      <w:r w:rsidRPr="00092515">
        <w:t>A GP of one or several slots represents a significant overhead. [</w:t>
      </w:r>
      <w:r w:rsidR="001F64CD" w:rsidRPr="00092515">
        <w:t>1</w:t>
      </w:r>
      <w:r w:rsidRPr="00092515">
        <w:t>] discusses</w:t>
      </w:r>
      <w:r>
        <w:t xml:space="preserve"> the issue of GP and potential mitigation strategies further.</w:t>
      </w:r>
    </w:p>
    <w:p w14:paraId="039837C8" w14:textId="24E9E9F0" w:rsidR="00CA3246" w:rsidRDefault="00CA3246" w:rsidP="00CE0424">
      <w:pPr>
        <w:pStyle w:val="BodyText"/>
      </w:pPr>
    </w:p>
    <w:p w14:paraId="3CC06BB9" w14:textId="143EA4F2" w:rsidR="00CA3246" w:rsidRDefault="00CA3246" w:rsidP="00CA3246">
      <w:pPr>
        <w:pStyle w:val="Heading2"/>
      </w:pPr>
      <w:r>
        <w:t>2.</w:t>
      </w:r>
      <w:r w:rsidR="00CC5AB3">
        <w:t>2</w:t>
      </w:r>
      <w:r>
        <w:tab/>
        <w:t>UE-UE CLI for ATG</w:t>
      </w:r>
    </w:p>
    <w:p w14:paraId="089DB308" w14:textId="0FFE9953" w:rsidR="00CA3246" w:rsidRDefault="002D70AA" w:rsidP="00CE0424">
      <w:pPr>
        <w:pStyle w:val="BodyText"/>
      </w:pPr>
      <w:r>
        <w:t xml:space="preserve">The ATG UE </w:t>
      </w:r>
      <w:r w:rsidR="007B615F">
        <w:t xml:space="preserve">needs to apply a timing advance that could be in the range of 0.33 – 1msec. </w:t>
      </w:r>
      <w:r w:rsidR="00B81134">
        <w:t xml:space="preserve">The propagation time to </w:t>
      </w:r>
      <w:r w:rsidR="00E139B2">
        <w:t>the nearest point on the ground may be 0.03</w:t>
      </w:r>
      <w:r w:rsidR="000868F6">
        <w:t xml:space="preserve"> </w:t>
      </w:r>
      <w:r w:rsidR="00E139B2">
        <w:t>msec or shorter.</w:t>
      </w:r>
      <w:r w:rsidR="00C279A7">
        <w:t xml:space="preserve"> Thus, </w:t>
      </w:r>
      <w:bookmarkStart w:id="1" w:name="_Hlk127126049"/>
      <w:r w:rsidR="00C279A7">
        <w:t xml:space="preserve">due to the timing advance at the ATG UE, it is possible that ATG UE transmission can occur during </w:t>
      </w:r>
      <w:r w:rsidR="00320809">
        <w:t>DL slots in the TN</w:t>
      </w:r>
      <w:r w:rsidR="005856A2">
        <w:t xml:space="preserve"> directly underneath the aircraft</w:t>
      </w:r>
      <w:r w:rsidR="00320809">
        <w:t xml:space="preserve"> and ATG UE reception can occur during </w:t>
      </w:r>
      <w:r w:rsidR="007267F4">
        <w:t>UL slots in the TN</w:t>
      </w:r>
      <w:bookmarkEnd w:id="1"/>
      <w:r w:rsidR="007267F4">
        <w:t>.</w:t>
      </w:r>
    </w:p>
    <w:p w14:paraId="2A41B158" w14:textId="145F5C90" w:rsidR="00056FB9" w:rsidRDefault="00056FB9" w:rsidP="00E37DF2">
      <w:pPr>
        <w:pStyle w:val="Observation"/>
      </w:pPr>
      <w:bookmarkStart w:id="2" w:name="_Toc127524436"/>
      <w:r>
        <w:lastRenderedPageBreak/>
        <w:t>Due to the timing advance at the ATG UE, it is possible that ATG UE transmission can occur during DL slots in the TN directly underneath the aircraft and ATG UE reception can occur during UL slots in the TN</w:t>
      </w:r>
      <w:bookmarkEnd w:id="2"/>
    </w:p>
    <w:p w14:paraId="354CCA50" w14:textId="42DBDDA6" w:rsidR="00F92D49" w:rsidRPr="007A19DA" w:rsidRDefault="0026469A" w:rsidP="00CE0424">
      <w:pPr>
        <w:pStyle w:val="BodyText"/>
      </w:pPr>
      <w:r w:rsidRPr="007A19DA">
        <w:t xml:space="preserve">In regard to interference from TN UE transmissions to the ATG UE, the ATG UE will receive an accumulation of interference from </w:t>
      </w:r>
      <w:r w:rsidR="000676E4" w:rsidRPr="007A19DA">
        <w:t xml:space="preserve">UEs in </w:t>
      </w:r>
      <w:r w:rsidRPr="007A19DA">
        <w:t>TN cells</w:t>
      </w:r>
      <w:r w:rsidR="00915976" w:rsidRPr="007A19DA">
        <w:t xml:space="preserve"> on the ground. </w:t>
      </w:r>
      <w:r w:rsidR="00CB01AE" w:rsidRPr="00092515">
        <w:t>T</w:t>
      </w:r>
      <w:r w:rsidR="00915976" w:rsidRPr="007A19DA">
        <w:t>he TN UE TX power is 20dB lower than the BS power even when at maximum power (with most UEs transmitting at lower than full power due to power control)</w:t>
      </w:r>
      <w:r w:rsidR="007A19DA" w:rsidRPr="00092515">
        <w:t>. However</w:t>
      </w:r>
      <w:r w:rsidR="00036C92">
        <w:t>,</w:t>
      </w:r>
      <w:r w:rsidR="007A19DA" w:rsidRPr="00092515">
        <w:t xml:space="preserve"> unlike the BS, the UE does not have a downward pointing antenna.</w:t>
      </w:r>
      <w:r w:rsidR="00915976" w:rsidRPr="007A19DA">
        <w:t xml:space="preserve"> </w:t>
      </w:r>
      <w:r w:rsidR="007A19DA" w:rsidRPr="00092515">
        <w:t>I</w:t>
      </w:r>
      <w:r w:rsidR="00915976" w:rsidRPr="007A19DA">
        <w:t>t is unlikely that TN (UL) – ATG (</w:t>
      </w:r>
      <w:r w:rsidR="000D009B">
        <w:t>D</w:t>
      </w:r>
      <w:r w:rsidR="00915976" w:rsidRPr="007A19DA">
        <w:t>L) interference will be larger than TN(DL)-ATG (</w:t>
      </w:r>
      <w:r w:rsidR="00092515">
        <w:t>D</w:t>
      </w:r>
      <w:r w:rsidR="00915976" w:rsidRPr="007A19DA">
        <w:t xml:space="preserve">L) </w:t>
      </w:r>
      <w:r w:rsidR="003768CD" w:rsidRPr="007A19DA">
        <w:t>i</w:t>
      </w:r>
      <w:r w:rsidR="00915976" w:rsidRPr="007A19DA">
        <w:t>nterference</w:t>
      </w:r>
      <w:r w:rsidR="007A19DA" w:rsidRPr="00092515">
        <w:t>, but this could be checked with simulation</w:t>
      </w:r>
      <w:r w:rsidR="00915976" w:rsidRPr="007A19DA">
        <w:t>.</w:t>
      </w:r>
    </w:p>
    <w:p w14:paraId="282B0A06" w14:textId="6D1A1F95" w:rsidR="00915976" w:rsidRPr="007A19DA" w:rsidRDefault="00915976" w:rsidP="00C93ADA">
      <w:pPr>
        <w:pStyle w:val="Observation"/>
      </w:pPr>
      <w:bookmarkStart w:id="3" w:name="_Toc127524437"/>
      <w:r w:rsidRPr="007A19DA">
        <w:t>It is unlikely that TN (UL) – ATG (</w:t>
      </w:r>
      <w:r w:rsidR="00FA19F2" w:rsidRPr="007A19DA">
        <w:t>D</w:t>
      </w:r>
      <w:r w:rsidRPr="007A19DA">
        <w:t>L) interference will be larger than TN(DL)-ATG(DL) interference.</w:t>
      </w:r>
      <w:r w:rsidR="007A19DA" w:rsidRPr="007A19DA">
        <w:t xml:space="preserve"> This could be double checked with simulations.</w:t>
      </w:r>
      <w:bookmarkEnd w:id="3"/>
    </w:p>
    <w:p w14:paraId="19AA2587" w14:textId="1A9542C7" w:rsidR="007267F4" w:rsidRDefault="00780420" w:rsidP="00CE0424">
      <w:pPr>
        <w:pStyle w:val="BodyText"/>
      </w:pPr>
      <w:r>
        <w:t xml:space="preserve">In regard to ATG (UL) interference towards TN(DL), the interference arriving at TN UEs will be </w:t>
      </w:r>
      <w:r w:rsidR="00244CA5">
        <w:t xml:space="preserve">similar to the interference experienced by TN BS in scenario </w:t>
      </w:r>
      <w:r w:rsidR="00314BF6">
        <w:t>2</w:t>
      </w:r>
      <w:r w:rsidR="0080124F">
        <w:t xml:space="preserve"> (at least for the 2GHz frequency with no ATG UE antenna beamforming)</w:t>
      </w:r>
      <w:r w:rsidR="00314BF6">
        <w:t>. However, the ACS of the TN UE is 13dB lower than for the TN BS.</w:t>
      </w:r>
      <w:r w:rsidR="00C93ADA">
        <w:t xml:space="preserve"> </w:t>
      </w:r>
      <w:r w:rsidR="00F76664">
        <w:t>R</w:t>
      </w:r>
      <w:r w:rsidR="00C93ADA">
        <w:t xml:space="preserve">esults for scenario 2 show </w:t>
      </w:r>
      <w:r w:rsidR="00F76664">
        <w:t>low</w:t>
      </w:r>
      <w:r w:rsidR="00C93ADA">
        <w:t xml:space="preserve"> interference degradation, and thus despite the difference in ACS between the TN BS and the TN UE, we do not expect ATG UE – TN UE interference to be substantial. </w:t>
      </w:r>
      <w:r w:rsidR="00EA62A2">
        <w:t>Simulation could be used to check this assumption.</w:t>
      </w:r>
    </w:p>
    <w:p w14:paraId="301A017F" w14:textId="069FC9E9" w:rsidR="00C93ADA" w:rsidRDefault="00FA19F2" w:rsidP="00FA19F2">
      <w:pPr>
        <w:pStyle w:val="Observation"/>
      </w:pPr>
      <w:bookmarkStart w:id="4" w:name="_Toc127524438"/>
      <w:r>
        <w:t>It is not expected that the ATG (UL) – TN (DL) interference will cause significant throughput degradation in the TN.</w:t>
      </w:r>
      <w:r w:rsidR="00EA62A2">
        <w:t xml:space="preserve"> This could be double checked with simulations.</w:t>
      </w:r>
      <w:bookmarkEnd w:id="4"/>
    </w:p>
    <w:p w14:paraId="42E519CB" w14:textId="6A1B6A8B" w:rsidR="00CC5AB3" w:rsidRDefault="00CC5AB3" w:rsidP="00CC5AB3">
      <w:pPr>
        <w:pStyle w:val="Observation"/>
        <w:numPr>
          <w:ilvl w:val="0"/>
          <w:numId w:val="0"/>
        </w:numPr>
        <w:ind w:left="1701" w:hanging="1701"/>
      </w:pPr>
    </w:p>
    <w:p w14:paraId="38D3429E" w14:textId="13621C8D" w:rsidR="00CC5AB3" w:rsidRDefault="00CC5AB3" w:rsidP="006F1F33">
      <w:pPr>
        <w:pStyle w:val="Heading2"/>
      </w:pPr>
      <w:r>
        <w:t>2.3</w:t>
      </w:r>
      <w:r>
        <w:tab/>
      </w:r>
      <w:r w:rsidR="006F1F33">
        <w:t>Synchronization between ATG and TN BS</w:t>
      </w:r>
    </w:p>
    <w:p w14:paraId="35EE1B39" w14:textId="551334B5" w:rsidR="006F1F33" w:rsidRDefault="006F1F33" w:rsidP="006F1F33">
      <w:pPr>
        <w:rPr>
          <w:lang w:val="en-GB" w:eastAsia="ja-JP"/>
        </w:rPr>
      </w:pPr>
      <w:r>
        <w:rPr>
          <w:lang w:val="en-GB" w:eastAsia="ja-JP"/>
        </w:rPr>
        <w:t xml:space="preserve">For TDD operation, basestations </w:t>
      </w:r>
      <w:r w:rsidR="005B794E">
        <w:rPr>
          <w:lang w:val="en-GB" w:eastAsia="ja-JP"/>
        </w:rPr>
        <w:t xml:space="preserve">of different operators </w:t>
      </w:r>
      <w:r>
        <w:rPr>
          <w:lang w:val="en-GB" w:eastAsia="ja-JP"/>
        </w:rPr>
        <w:t>are usually synchronized</w:t>
      </w:r>
      <w:r w:rsidR="005B794E">
        <w:rPr>
          <w:lang w:val="en-GB" w:eastAsia="ja-JP"/>
        </w:rPr>
        <w:t xml:space="preserve"> in order to avoid cross-operator interference, in particular BS-BS interference.</w:t>
      </w:r>
    </w:p>
    <w:p w14:paraId="5CD9F9EA" w14:textId="411041E8" w:rsidR="005B794E" w:rsidRDefault="005B794E" w:rsidP="006F1F33">
      <w:pPr>
        <w:rPr>
          <w:lang w:val="en-GB" w:eastAsia="ja-JP"/>
        </w:rPr>
      </w:pPr>
      <w:r>
        <w:rPr>
          <w:lang w:val="en-GB" w:eastAsia="ja-JP"/>
        </w:rPr>
        <w:t xml:space="preserve">Assuming a means of synchronization is available, then </w:t>
      </w:r>
      <w:r w:rsidR="001064B1">
        <w:rPr>
          <w:lang w:val="en-GB" w:eastAsia="ja-JP"/>
        </w:rPr>
        <w:t>the difference between the TN BS and the ATG BS will be that the ATG BS may need a longer GP that can accommodate th</w:t>
      </w:r>
      <w:r w:rsidR="007112EE">
        <w:rPr>
          <w:lang w:val="en-GB" w:eastAsia="ja-JP"/>
        </w:rPr>
        <w:t xml:space="preserve">e propagation time and avoid UE simultaneous TX/RX as described in section 2.1. </w:t>
      </w:r>
      <w:r w:rsidR="0008223D">
        <w:rPr>
          <w:lang w:val="en-GB" w:eastAsia="ja-JP"/>
        </w:rPr>
        <w:t>If the needed GP is longer than the UL transmit duration</w:t>
      </w:r>
      <w:r w:rsidR="007112EE">
        <w:rPr>
          <w:lang w:val="en-GB" w:eastAsia="ja-JP"/>
        </w:rPr>
        <w:t>, the GP needs to be taken from the DL, and so the ATG will need to stop transmitting DL early. It will not be able to receive UL</w:t>
      </w:r>
      <w:r w:rsidR="00DB2472">
        <w:rPr>
          <w:lang w:val="en-GB" w:eastAsia="ja-JP"/>
        </w:rPr>
        <w:t xml:space="preserve"> during this period. Thus, the ATG BS will not create interference towards the TN network and will not suffer interference, since it is not receiving.</w:t>
      </w:r>
      <w:r w:rsidR="00134AF7">
        <w:rPr>
          <w:lang w:val="en-GB" w:eastAsia="ja-JP"/>
        </w:rPr>
        <w:t xml:space="preserve"> Even if the GP is taken within the UL period, there will be no interference to / from the TN.</w:t>
      </w:r>
    </w:p>
    <w:p w14:paraId="614D1256" w14:textId="64C55FF5" w:rsidR="00DB2472" w:rsidRDefault="00DB2472" w:rsidP="006F1F33">
      <w:pPr>
        <w:rPr>
          <w:lang w:val="en-GB" w:eastAsia="ja-JP"/>
        </w:rPr>
      </w:pPr>
    </w:p>
    <w:p w14:paraId="02FF175E" w14:textId="4434E8B4" w:rsidR="00DB2472" w:rsidRDefault="00734C76" w:rsidP="00734C76">
      <w:pPr>
        <w:jc w:val="center"/>
        <w:rPr>
          <w:lang w:val="en-GB" w:eastAsia="ja-JP"/>
        </w:rPr>
      </w:pPr>
      <w:r>
        <w:rPr>
          <w:noProof/>
          <w:lang w:val="en-GB" w:eastAsia="ja-JP"/>
        </w:rPr>
        <w:drawing>
          <wp:inline distT="0" distB="0" distL="0" distR="0" wp14:anchorId="7AA249F7" wp14:editId="78432D7C">
            <wp:extent cx="3481070" cy="2194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81070" cy="2194560"/>
                    </a:xfrm>
                    <a:prstGeom prst="rect">
                      <a:avLst/>
                    </a:prstGeom>
                    <a:noFill/>
                  </pic:spPr>
                </pic:pic>
              </a:graphicData>
            </a:graphic>
          </wp:inline>
        </w:drawing>
      </w:r>
    </w:p>
    <w:p w14:paraId="1D922D1D" w14:textId="66120F47" w:rsidR="00DB2472" w:rsidRDefault="00C90778" w:rsidP="006F1F33">
      <w:pPr>
        <w:rPr>
          <w:lang w:val="en-GB" w:eastAsia="ja-JP"/>
        </w:rPr>
      </w:pPr>
      <w:r>
        <w:rPr>
          <w:lang w:val="en-GB" w:eastAsia="ja-JP"/>
        </w:rPr>
        <w:t>In [2], it is suggested that a different TDD pattern</w:t>
      </w:r>
      <w:r w:rsidR="00BE4054">
        <w:rPr>
          <w:lang w:val="en-GB" w:eastAsia="ja-JP"/>
        </w:rPr>
        <w:t xml:space="preserve"> with a longer DL period and fewer switching times could be applied for ATG. In the above example, if the ATG would for example transmit DL for 1</w:t>
      </w:r>
      <w:r w:rsidR="00444003">
        <w:rPr>
          <w:lang w:val="en-GB" w:eastAsia="ja-JP"/>
        </w:rPr>
        <w:t>5 slots and then switch to UL (thus switching only every 20 slots), then the ATG would transmit DL in some of the slots in which the TN would receive UL.</w:t>
      </w:r>
      <w:r w:rsidR="007302EB">
        <w:rPr>
          <w:lang w:val="en-GB" w:eastAsia="ja-JP"/>
        </w:rPr>
        <w:t xml:space="preserve"> This could lead to BS-BS interference.</w:t>
      </w:r>
    </w:p>
    <w:p w14:paraId="5F918A3E" w14:textId="1FC93213" w:rsidR="004343B7" w:rsidRDefault="004343B7" w:rsidP="004343B7">
      <w:pPr>
        <w:pStyle w:val="Heading2"/>
      </w:pPr>
      <w:r>
        <w:lastRenderedPageBreak/>
        <w:t>2.4</w:t>
      </w:r>
      <w:r>
        <w:tab/>
        <w:t>ATG BS – TN BS interference</w:t>
      </w:r>
    </w:p>
    <w:p w14:paraId="31606F18" w14:textId="4C656628" w:rsidR="00DB2472" w:rsidRDefault="00AF5470" w:rsidP="006F1F33">
      <w:pPr>
        <w:rPr>
          <w:lang w:val="en-GB" w:eastAsia="ja-JP"/>
        </w:rPr>
      </w:pPr>
      <w:r>
        <w:rPr>
          <w:lang w:val="en-GB" w:eastAsia="ja-JP"/>
        </w:rPr>
        <w:t>BS-BS interference will occur if the ATG and TN networks are not synchronized.</w:t>
      </w:r>
      <w:r w:rsidR="00CA356E">
        <w:rPr>
          <w:lang w:val="en-GB" w:eastAsia="ja-JP"/>
        </w:rPr>
        <w:t xml:space="preserve"> For 2GHz, the BS noise floor in 20MHz is </w:t>
      </w:r>
      <w:r w:rsidR="00D673F0">
        <w:rPr>
          <w:lang w:val="en-GB" w:eastAsia="ja-JP"/>
        </w:rPr>
        <w:t xml:space="preserve">-96 dBm and the transmit power is 43dBm. Thus, to avoid degradation of a victim receiver, at least </w:t>
      </w:r>
      <w:r w:rsidR="00DC364E">
        <w:rPr>
          <w:lang w:val="en-GB" w:eastAsia="ja-JP"/>
        </w:rPr>
        <w:t xml:space="preserve">149 dB of isolation is required. For 4GHz, the noise floor is -89dBm and the transmit power </w:t>
      </w:r>
      <w:r w:rsidR="00671606">
        <w:rPr>
          <w:lang w:val="en-GB" w:eastAsia="ja-JP"/>
        </w:rPr>
        <w:t xml:space="preserve">53dBm and </w:t>
      </w:r>
      <w:r w:rsidR="00050CAD">
        <w:rPr>
          <w:lang w:val="en-GB" w:eastAsia="ja-JP"/>
        </w:rPr>
        <w:t>so at least 152dB of isolation is needed.</w:t>
      </w:r>
    </w:p>
    <w:p w14:paraId="690CDAD4" w14:textId="07BFFD28" w:rsidR="00050CAD" w:rsidRDefault="00050CAD" w:rsidP="006F1F33">
      <w:pPr>
        <w:rPr>
          <w:lang w:val="en-GB" w:eastAsia="ja-JP"/>
        </w:rPr>
      </w:pPr>
      <w:r>
        <w:rPr>
          <w:lang w:val="en-GB" w:eastAsia="ja-JP"/>
        </w:rPr>
        <w:t xml:space="preserve">Although the ATG BS </w:t>
      </w:r>
      <w:r w:rsidR="002F7D84">
        <w:rPr>
          <w:lang w:val="en-GB" w:eastAsia="ja-JP"/>
        </w:rPr>
        <w:t>tilts it’s antenna upwards and the TN tilts downwards,</w:t>
      </w:r>
      <w:r w:rsidR="00205BFD">
        <w:rPr>
          <w:lang w:val="en-GB" w:eastAsia="ja-JP"/>
        </w:rPr>
        <w:t xml:space="preserve"> it is very likely that there will be BS-BS interference. Both ATG and TN BS are deployed at 25-30m height, above rural buildings and trees and will have LoS propagation. The LoS pathloss at 1km is 98dB</w:t>
      </w:r>
      <w:r w:rsidR="00490930">
        <w:rPr>
          <w:lang w:val="en-GB" w:eastAsia="ja-JP"/>
        </w:rPr>
        <w:t>. Even with beams pointing in different directions, it is unlikely that antenna suppression would be as much as the 50dB that is needed.</w:t>
      </w:r>
    </w:p>
    <w:p w14:paraId="6B5F989B" w14:textId="1E5B9680" w:rsidR="006D19FF" w:rsidRDefault="006D19FF" w:rsidP="006F1F33">
      <w:pPr>
        <w:rPr>
          <w:lang w:val="en-GB" w:eastAsia="ja-JP"/>
        </w:rPr>
      </w:pPr>
      <w:r>
        <w:rPr>
          <w:lang w:val="en-GB" w:eastAsia="ja-JP"/>
        </w:rPr>
        <w:t>Obviously co-located ATG BS and TN BS would not function</w:t>
      </w:r>
      <w:r w:rsidR="00C92F40">
        <w:rPr>
          <w:lang w:val="en-GB" w:eastAsia="ja-JP"/>
        </w:rPr>
        <w:t xml:space="preserve"> if unsynchronized.</w:t>
      </w:r>
    </w:p>
    <w:p w14:paraId="651908AA" w14:textId="2C95A380" w:rsidR="006D19FF" w:rsidRDefault="006D19FF" w:rsidP="00C92F40">
      <w:pPr>
        <w:pStyle w:val="Observation"/>
        <w:rPr>
          <w:lang w:val="en-GB"/>
        </w:rPr>
      </w:pPr>
      <w:bookmarkStart w:id="5" w:name="_Toc127524439"/>
      <w:r>
        <w:rPr>
          <w:lang w:val="en-GB"/>
        </w:rPr>
        <w:t xml:space="preserve">If unsynchronized ATG BS </w:t>
      </w:r>
      <w:r w:rsidR="00812365">
        <w:rPr>
          <w:lang w:val="en-GB"/>
        </w:rPr>
        <w:t xml:space="preserve">and TN BS </w:t>
      </w:r>
      <w:r>
        <w:rPr>
          <w:lang w:val="en-GB"/>
        </w:rPr>
        <w:t xml:space="preserve">are deployed in </w:t>
      </w:r>
      <w:r w:rsidR="00C92F40">
        <w:rPr>
          <w:lang w:val="en-GB"/>
        </w:rPr>
        <w:t>the same geographical area, it is likely that there can be BS-BS interference.</w:t>
      </w:r>
      <w:bookmarkEnd w:id="5"/>
    </w:p>
    <w:p w14:paraId="3879E8F8" w14:textId="77777777" w:rsidR="00C473A5" w:rsidRDefault="00C473A5" w:rsidP="00CE0424">
      <w:pPr>
        <w:pStyle w:val="Heading1"/>
        <w:sectPr w:rsidR="00C473A5" w:rsidSect="00C92F40">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DDD1A7C" w14:textId="00517832" w:rsidR="00F65CB6" w:rsidRPr="00092515" w:rsidRDefault="006F6582">
      <w:pPr>
        <w:pStyle w:val="TableofFigures"/>
        <w:tabs>
          <w:tab w:val="right" w:leader="dot" w:pos="9629"/>
        </w:tabs>
        <w:rPr>
          <w:rFonts w:asciiTheme="minorHAnsi" w:eastAsiaTheme="minorEastAsia" w:hAnsiTheme="minorHAnsi"/>
          <w:b w:val="0"/>
          <w:noProof/>
          <w:sz w:val="22"/>
          <w:lang w:val="en-SE" w:eastAsia="en-SE"/>
        </w:rPr>
      </w:pPr>
      <w:r w:rsidRPr="00092515">
        <w:rPr>
          <w:b w:val="0"/>
          <w:bCs/>
        </w:rPr>
        <w:fldChar w:fldCharType="begin"/>
      </w:r>
      <w:r w:rsidRPr="00092515">
        <w:rPr>
          <w:b w:val="0"/>
          <w:bCs/>
        </w:rPr>
        <w:instrText xml:space="preserve"> TOC \f O \n \h \z \t "Observation" \c </w:instrText>
      </w:r>
      <w:r w:rsidRPr="00092515">
        <w:rPr>
          <w:b w:val="0"/>
          <w:bCs/>
        </w:rPr>
        <w:fldChar w:fldCharType="separate"/>
      </w:r>
      <w:hyperlink w:anchor="_Toc127524436" w:history="1">
        <w:r w:rsidR="00F65CB6" w:rsidRPr="00092515">
          <w:rPr>
            <w:rStyle w:val="Hyperlink"/>
            <w:noProof/>
          </w:rPr>
          <w:t>Observation 1</w:t>
        </w:r>
        <w:r w:rsidR="00F65CB6" w:rsidRPr="00092515">
          <w:rPr>
            <w:rFonts w:asciiTheme="minorHAnsi" w:eastAsiaTheme="minorEastAsia" w:hAnsiTheme="minorHAnsi"/>
            <w:b w:val="0"/>
            <w:noProof/>
            <w:sz w:val="22"/>
            <w:lang w:val="en-SE" w:eastAsia="en-SE"/>
          </w:rPr>
          <w:tab/>
        </w:r>
        <w:r w:rsidR="00F65CB6" w:rsidRPr="00092515">
          <w:rPr>
            <w:rStyle w:val="Hyperlink"/>
            <w:noProof/>
          </w:rPr>
          <w:t>Due to the timing advance at the ATG UE, it is possible that ATG UE transmission can occur during DL slots in the TN directly underneath the aircraft and ATG UE reception can occur during UL slots in the TN</w:t>
        </w:r>
      </w:hyperlink>
    </w:p>
    <w:p w14:paraId="464DB9C6" w14:textId="5E506A40" w:rsidR="00F65CB6" w:rsidRPr="00092515" w:rsidRDefault="00F65CB6">
      <w:pPr>
        <w:pStyle w:val="TableofFigures"/>
        <w:tabs>
          <w:tab w:val="right" w:leader="dot" w:pos="9629"/>
        </w:tabs>
        <w:rPr>
          <w:rFonts w:asciiTheme="minorHAnsi" w:eastAsiaTheme="minorEastAsia" w:hAnsiTheme="minorHAnsi"/>
          <w:b w:val="0"/>
          <w:noProof/>
          <w:sz w:val="22"/>
          <w:lang w:val="en-SE" w:eastAsia="en-SE"/>
        </w:rPr>
      </w:pPr>
      <w:hyperlink w:anchor="_Toc127524437" w:history="1">
        <w:r w:rsidRPr="00092515">
          <w:rPr>
            <w:rStyle w:val="Hyperlink"/>
            <w:noProof/>
          </w:rPr>
          <w:t>Observation 2</w:t>
        </w:r>
        <w:r w:rsidRPr="00092515">
          <w:rPr>
            <w:rFonts w:asciiTheme="minorHAnsi" w:eastAsiaTheme="minorEastAsia" w:hAnsiTheme="minorHAnsi"/>
            <w:b w:val="0"/>
            <w:noProof/>
            <w:sz w:val="22"/>
            <w:lang w:val="en-SE" w:eastAsia="en-SE"/>
          </w:rPr>
          <w:tab/>
        </w:r>
        <w:r w:rsidRPr="00092515">
          <w:rPr>
            <w:rStyle w:val="Hyperlink"/>
            <w:noProof/>
          </w:rPr>
          <w:t>It is unlikely that TN (UL) – ATG (DL) interference will be larger than TN(DL)-ATG(DL) interference. This could be double checked with simulations.</w:t>
        </w:r>
      </w:hyperlink>
    </w:p>
    <w:p w14:paraId="2EDCB9A5" w14:textId="4A7932F9" w:rsidR="00F65CB6" w:rsidRPr="00092515" w:rsidRDefault="00F65CB6">
      <w:pPr>
        <w:pStyle w:val="TableofFigures"/>
        <w:tabs>
          <w:tab w:val="right" w:leader="dot" w:pos="9629"/>
        </w:tabs>
        <w:rPr>
          <w:rFonts w:asciiTheme="minorHAnsi" w:eastAsiaTheme="minorEastAsia" w:hAnsiTheme="minorHAnsi"/>
          <w:b w:val="0"/>
          <w:noProof/>
          <w:sz w:val="22"/>
          <w:lang w:val="en-SE" w:eastAsia="en-SE"/>
        </w:rPr>
      </w:pPr>
      <w:hyperlink w:anchor="_Toc127524438" w:history="1">
        <w:r w:rsidRPr="00092515">
          <w:rPr>
            <w:rStyle w:val="Hyperlink"/>
            <w:noProof/>
          </w:rPr>
          <w:t>Observation 3</w:t>
        </w:r>
        <w:r w:rsidRPr="00092515">
          <w:rPr>
            <w:rFonts w:asciiTheme="minorHAnsi" w:eastAsiaTheme="minorEastAsia" w:hAnsiTheme="minorHAnsi"/>
            <w:b w:val="0"/>
            <w:noProof/>
            <w:sz w:val="22"/>
            <w:lang w:val="en-SE" w:eastAsia="en-SE"/>
          </w:rPr>
          <w:tab/>
        </w:r>
        <w:r w:rsidRPr="00092515">
          <w:rPr>
            <w:rStyle w:val="Hyperlink"/>
            <w:noProof/>
          </w:rPr>
          <w:t>It is not expected that the ATG (UL) – TN (DL) interference will cause significant throughput degradation in the TN. This could be double checked with simulations.</w:t>
        </w:r>
      </w:hyperlink>
    </w:p>
    <w:p w14:paraId="64CACB2D" w14:textId="2FAB38C4" w:rsidR="00F65CB6" w:rsidRPr="00092515" w:rsidRDefault="00F65CB6">
      <w:pPr>
        <w:pStyle w:val="TableofFigures"/>
        <w:tabs>
          <w:tab w:val="right" w:leader="dot" w:pos="9629"/>
        </w:tabs>
        <w:rPr>
          <w:rFonts w:asciiTheme="minorHAnsi" w:eastAsiaTheme="minorEastAsia" w:hAnsiTheme="minorHAnsi"/>
          <w:b w:val="0"/>
          <w:noProof/>
          <w:sz w:val="22"/>
          <w:lang w:val="en-SE" w:eastAsia="en-SE"/>
        </w:rPr>
      </w:pPr>
      <w:hyperlink w:anchor="_Toc127524439" w:history="1">
        <w:r w:rsidRPr="00092515">
          <w:rPr>
            <w:rStyle w:val="Hyperlink"/>
            <w:noProof/>
            <w:lang w:val="en-GB"/>
          </w:rPr>
          <w:t>Observation 4</w:t>
        </w:r>
        <w:r w:rsidRPr="00092515">
          <w:rPr>
            <w:rFonts w:asciiTheme="minorHAnsi" w:eastAsiaTheme="minorEastAsia" w:hAnsiTheme="minorHAnsi"/>
            <w:b w:val="0"/>
            <w:noProof/>
            <w:sz w:val="22"/>
            <w:lang w:val="en-SE" w:eastAsia="en-SE"/>
          </w:rPr>
          <w:tab/>
        </w:r>
        <w:r w:rsidRPr="00092515">
          <w:rPr>
            <w:rStyle w:val="Hyperlink"/>
            <w:noProof/>
            <w:lang w:val="en-GB"/>
          </w:rPr>
          <w:t>If unsynchronized ATG BS and TN BS are deployed in the same geographical area, it is likely that there can be BS-BS interference.</w:t>
        </w:r>
      </w:hyperlink>
    </w:p>
    <w:p w14:paraId="5F69EC0F" w14:textId="52ECFC1C" w:rsidR="006E1C82" w:rsidRPr="00092515" w:rsidRDefault="006F6582" w:rsidP="008E065E">
      <w:pPr>
        <w:pStyle w:val="BodyText"/>
        <w:rPr>
          <w:b/>
          <w:bCs/>
        </w:rPr>
      </w:pPr>
      <w:r w:rsidRPr="00092515">
        <w:rPr>
          <w:b/>
          <w:bCs/>
        </w:rPr>
        <w:fldChar w:fldCharType="end"/>
      </w:r>
    </w:p>
    <w:p w14:paraId="71D79D99" w14:textId="77777777" w:rsidR="00F507D1" w:rsidRPr="00092515" w:rsidRDefault="00F507D1" w:rsidP="00CE0424">
      <w:pPr>
        <w:pStyle w:val="Heading1"/>
      </w:pPr>
      <w:bookmarkStart w:id="6" w:name="_In-sequence_SDU_delivery"/>
      <w:bookmarkEnd w:id="6"/>
      <w:r w:rsidRPr="00092515">
        <w:t>References</w:t>
      </w:r>
    </w:p>
    <w:p w14:paraId="77C5E852" w14:textId="2C858F78" w:rsidR="005F3025" w:rsidRPr="00092515" w:rsidRDefault="00F65CB6" w:rsidP="00311702">
      <w:pPr>
        <w:pStyle w:val="Reference"/>
      </w:pPr>
      <w:bookmarkStart w:id="7" w:name="_Ref174151459"/>
      <w:bookmarkStart w:id="8" w:name="_Ref189809556"/>
      <w:r w:rsidRPr="00092515">
        <w:t>R4-23</w:t>
      </w:r>
      <w:r w:rsidR="00AD75DA" w:rsidRPr="00092515">
        <w:t>01900</w:t>
      </w:r>
      <w:r w:rsidR="005F3025" w:rsidRPr="00092515">
        <w:t xml:space="preserve">, </w:t>
      </w:r>
      <w:r w:rsidR="00AD75DA" w:rsidRPr="00092515">
        <w:t>On large TDD cells and other timing requirements</w:t>
      </w:r>
      <w:r w:rsidR="005F3025" w:rsidRPr="00092515">
        <w:t xml:space="preserve">, </w:t>
      </w:r>
      <w:r w:rsidRPr="00092515">
        <w:t>Ericsson</w:t>
      </w:r>
      <w:r w:rsidR="005F3025" w:rsidRPr="00092515">
        <w:t xml:space="preserve">, </w:t>
      </w:r>
      <w:r w:rsidRPr="00092515">
        <w:t>RAN4</w:t>
      </w:r>
      <w:r w:rsidR="000046DB" w:rsidRPr="00092515">
        <w:t>#106</w:t>
      </w:r>
      <w:r w:rsidR="005F3025" w:rsidRPr="00092515">
        <w:t xml:space="preserve">, </w:t>
      </w:r>
      <w:r w:rsidR="000046DB" w:rsidRPr="00092515">
        <w:t>February</w:t>
      </w:r>
      <w:r w:rsidR="00DD18C6" w:rsidRPr="00092515">
        <w:t>-March,</w:t>
      </w:r>
      <w:r w:rsidR="000046DB" w:rsidRPr="00092515">
        <w:t xml:space="preserve"> 2023</w:t>
      </w:r>
      <w:r w:rsidR="001F64CD" w:rsidRPr="00092515">
        <w:t xml:space="preserve"> </w:t>
      </w:r>
    </w:p>
    <w:bookmarkEnd w:id="7"/>
    <w:bookmarkEnd w:id="8"/>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9F612" w14:textId="77777777" w:rsidR="00F24849" w:rsidRDefault="00F24849">
      <w:r>
        <w:separator/>
      </w:r>
    </w:p>
  </w:endnote>
  <w:endnote w:type="continuationSeparator" w:id="0">
    <w:p w14:paraId="72BF6F6B" w14:textId="77777777" w:rsidR="00F24849" w:rsidRDefault="00F24849">
      <w:r>
        <w:continuationSeparator/>
      </w:r>
    </w:p>
  </w:endnote>
  <w:endnote w:type="continuationNotice" w:id="1">
    <w:p w14:paraId="7F75B633" w14:textId="77777777" w:rsidR="00F24849" w:rsidRDefault="00F248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29E42" w14:textId="77777777" w:rsidR="00F24849" w:rsidRDefault="00F24849">
      <w:r>
        <w:separator/>
      </w:r>
    </w:p>
  </w:footnote>
  <w:footnote w:type="continuationSeparator" w:id="0">
    <w:p w14:paraId="551A8DEC" w14:textId="77777777" w:rsidR="00F24849" w:rsidRDefault="00F24849">
      <w:r>
        <w:continuationSeparator/>
      </w:r>
    </w:p>
  </w:footnote>
  <w:footnote w:type="continuationNotice" w:id="1">
    <w:p w14:paraId="4568EA8E" w14:textId="77777777" w:rsidR="00F24849" w:rsidRDefault="00F248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847938828">
    <w:abstractNumId w:val="3"/>
  </w:num>
  <w:num w:numId="2" w16cid:durableId="1550804079">
    <w:abstractNumId w:val="15"/>
  </w:num>
  <w:num w:numId="3" w16cid:durableId="359429279">
    <w:abstractNumId w:val="11"/>
  </w:num>
  <w:num w:numId="4" w16cid:durableId="1316178120">
    <w:abstractNumId w:val="12"/>
  </w:num>
  <w:num w:numId="5" w16cid:durableId="523635495">
    <w:abstractNumId w:val="8"/>
  </w:num>
  <w:num w:numId="6" w16cid:durableId="151919133">
    <w:abstractNumId w:val="14"/>
  </w:num>
  <w:num w:numId="7" w16cid:durableId="318773241">
    <w:abstractNumId w:val="18"/>
  </w:num>
  <w:num w:numId="8" w16cid:durableId="1617374510">
    <w:abstractNumId w:val="9"/>
  </w:num>
  <w:num w:numId="9" w16cid:durableId="1569606660">
    <w:abstractNumId w:val="7"/>
  </w:num>
  <w:num w:numId="10" w16cid:durableId="698042379">
    <w:abstractNumId w:val="2"/>
  </w:num>
  <w:num w:numId="11" w16cid:durableId="1422212788">
    <w:abstractNumId w:val="1"/>
  </w:num>
  <w:num w:numId="12" w16cid:durableId="97023994">
    <w:abstractNumId w:val="0"/>
  </w:num>
  <w:num w:numId="13" w16cid:durableId="766998196">
    <w:abstractNumId w:val="16"/>
  </w:num>
  <w:num w:numId="14" w16cid:durableId="1185443840">
    <w:abstractNumId w:val="17"/>
  </w:num>
  <w:num w:numId="15" w16cid:durableId="2081902175">
    <w:abstractNumId w:val="13"/>
  </w:num>
  <w:num w:numId="16" w16cid:durableId="1868179257">
    <w:abstractNumId w:val="19"/>
  </w:num>
  <w:num w:numId="17" w16cid:durableId="1225599534">
    <w:abstractNumId w:val="5"/>
  </w:num>
  <w:num w:numId="18" w16cid:durableId="559747574">
    <w:abstractNumId w:val="6"/>
  </w:num>
  <w:num w:numId="19" w16cid:durableId="2127458309">
    <w:abstractNumId w:val="4"/>
  </w:num>
  <w:num w:numId="20" w16cid:durableId="1891765044">
    <w:abstractNumId w:val="21"/>
  </w:num>
  <w:num w:numId="21" w16cid:durableId="649597714">
    <w:abstractNumId w:val="10"/>
  </w:num>
  <w:num w:numId="22" w16cid:durableId="159732939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6DB"/>
    <w:rsid w:val="0000564C"/>
    <w:rsid w:val="00006446"/>
    <w:rsid w:val="00006896"/>
    <w:rsid w:val="00007CDC"/>
    <w:rsid w:val="00011B28"/>
    <w:rsid w:val="00015D15"/>
    <w:rsid w:val="0002564D"/>
    <w:rsid w:val="00025ECA"/>
    <w:rsid w:val="000325B8"/>
    <w:rsid w:val="00034C15"/>
    <w:rsid w:val="00036BA1"/>
    <w:rsid w:val="00036C92"/>
    <w:rsid w:val="000422E2"/>
    <w:rsid w:val="00042F22"/>
    <w:rsid w:val="000444EF"/>
    <w:rsid w:val="00050CAD"/>
    <w:rsid w:val="00052A07"/>
    <w:rsid w:val="000534E3"/>
    <w:rsid w:val="00054737"/>
    <w:rsid w:val="0005606A"/>
    <w:rsid w:val="00056FB9"/>
    <w:rsid w:val="00057117"/>
    <w:rsid w:val="000616E7"/>
    <w:rsid w:val="0006487E"/>
    <w:rsid w:val="00065E1A"/>
    <w:rsid w:val="000676E4"/>
    <w:rsid w:val="00077E5F"/>
    <w:rsid w:val="0008036A"/>
    <w:rsid w:val="00081AE6"/>
    <w:rsid w:val="0008223D"/>
    <w:rsid w:val="000855EB"/>
    <w:rsid w:val="00085B52"/>
    <w:rsid w:val="000866F2"/>
    <w:rsid w:val="000868F6"/>
    <w:rsid w:val="0009009F"/>
    <w:rsid w:val="00091557"/>
    <w:rsid w:val="0009166B"/>
    <w:rsid w:val="000924C1"/>
    <w:rsid w:val="000924F0"/>
    <w:rsid w:val="00092515"/>
    <w:rsid w:val="00093474"/>
    <w:rsid w:val="0009510F"/>
    <w:rsid w:val="000A1B7B"/>
    <w:rsid w:val="000A56F2"/>
    <w:rsid w:val="000B2719"/>
    <w:rsid w:val="000B3A8F"/>
    <w:rsid w:val="000B4AB9"/>
    <w:rsid w:val="000B58C3"/>
    <w:rsid w:val="000B61E9"/>
    <w:rsid w:val="000C165A"/>
    <w:rsid w:val="000C2E19"/>
    <w:rsid w:val="000D009B"/>
    <w:rsid w:val="000D0D07"/>
    <w:rsid w:val="000D4797"/>
    <w:rsid w:val="000E0527"/>
    <w:rsid w:val="000E1E13"/>
    <w:rsid w:val="000E1E92"/>
    <w:rsid w:val="000E24EA"/>
    <w:rsid w:val="000F06D6"/>
    <w:rsid w:val="000F0EB1"/>
    <w:rsid w:val="000F1106"/>
    <w:rsid w:val="000F3BE9"/>
    <w:rsid w:val="000F3F6C"/>
    <w:rsid w:val="000F6DF3"/>
    <w:rsid w:val="001005FF"/>
    <w:rsid w:val="001062FB"/>
    <w:rsid w:val="001063E6"/>
    <w:rsid w:val="001064B1"/>
    <w:rsid w:val="00113CF4"/>
    <w:rsid w:val="001153EA"/>
    <w:rsid w:val="00115643"/>
    <w:rsid w:val="00116765"/>
    <w:rsid w:val="001219F5"/>
    <w:rsid w:val="00121A20"/>
    <w:rsid w:val="0012377F"/>
    <w:rsid w:val="00124314"/>
    <w:rsid w:val="00126B4A"/>
    <w:rsid w:val="00132FD0"/>
    <w:rsid w:val="001344C0"/>
    <w:rsid w:val="001346FA"/>
    <w:rsid w:val="00134AF7"/>
    <w:rsid w:val="00135252"/>
    <w:rsid w:val="00137AB5"/>
    <w:rsid w:val="00137F0B"/>
    <w:rsid w:val="00151E23"/>
    <w:rsid w:val="001526E0"/>
    <w:rsid w:val="001551B5"/>
    <w:rsid w:val="001659C1"/>
    <w:rsid w:val="00173A8E"/>
    <w:rsid w:val="0017502C"/>
    <w:rsid w:val="0018143F"/>
    <w:rsid w:val="00181FF8"/>
    <w:rsid w:val="00190AC1"/>
    <w:rsid w:val="0019341A"/>
    <w:rsid w:val="00193AF4"/>
    <w:rsid w:val="00197DF9"/>
    <w:rsid w:val="001A1987"/>
    <w:rsid w:val="001A2564"/>
    <w:rsid w:val="001A6173"/>
    <w:rsid w:val="001A6CBA"/>
    <w:rsid w:val="001B0D97"/>
    <w:rsid w:val="001B5A5D"/>
    <w:rsid w:val="001C1CE5"/>
    <w:rsid w:val="001C3ACF"/>
    <w:rsid w:val="001C3D2A"/>
    <w:rsid w:val="001D51BA"/>
    <w:rsid w:val="001D53E7"/>
    <w:rsid w:val="001D6342"/>
    <w:rsid w:val="001D6D53"/>
    <w:rsid w:val="001E58E2"/>
    <w:rsid w:val="001E7AED"/>
    <w:rsid w:val="001F3916"/>
    <w:rsid w:val="001F54C5"/>
    <w:rsid w:val="001F64CD"/>
    <w:rsid w:val="001F662C"/>
    <w:rsid w:val="001F7074"/>
    <w:rsid w:val="00200490"/>
    <w:rsid w:val="00201F3A"/>
    <w:rsid w:val="00203F96"/>
    <w:rsid w:val="00205BFD"/>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4CA5"/>
    <w:rsid w:val="002458EB"/>
    <w:rsid w:val="002500C8"/>
    <w:rsid w:val="00257543"/>
    <w:rsid w:val="002617E7"/>
    <w:rsid w:val="00264228"/>
    <w:rsid w:val="00264334"/>
    <w:rsid w:val="0026469A"/>
    <w:rsid w:val="0026473E"/>
    <w:rsid w:val="00266214"/>
    <w:rsid w:val="00267C83"/>
    <w:rsid w:val="0027144F"/>
    <w:rsid w:val="00271813"/>
    <w:rsid w:val="00271F3A"/>
    <w:rsid w:val="00273278"/>
    <w:rsid w:val="002737F4"/>
    <w:rsid w:val="002805F5"/>
    <w:rsid w:val="00280751"/>
    <w:rsid w:val="0028280A"/>
    <w:rsid w:val="0028568F"/>
    <w:rsid w:val="00286ACD"/>
    <w:rsid w:val="00287838"/>
    <w:rsid w:val="002907B5"/>
    <w:rsid w:val="00292EB7"/>
    <w:rsid w:val="00296227"/>
    <w:rsid w:val="00296F44"/>
    <w:rsid w:val="0029777D"/>
    <w:rsid w:val="002A055E"/>
    <w:rsid w:val="002A1D4E"/>
    <w:rsid w:val="002A2869"/>
    <w:rsid w:val="002A578E"/>
    <w:rsid w:val="002B24D6"/>
    <w:rsid w:val="002B74DB"/>
    <w:rsid w:val="002C41E6"/>
    <w:rsid w:val="002D071A"/>
    <w:rsid w:val="002D34B2"/>
    <w:rsid w:val="002D48B0"/>
    <w:rsid w:val="002D5B37"/>
    <w:rsid w:val="002D70AA"/>
    <w:rsid w:val="002D7637"/>
    <w:rsid w:val="002E17F2"/>
    <w:rsid w:val="002E7CAE"/>
    <w:rsid w:val="002F13E4"/>
    <w:rsid w:val="002F2771"/>
    <w:rsid w:val="002F37A9"/>
    <w:rsid w:val="002F7D84"/>
    <w:rsid w:val="00301CE6"/>
    <w:rsid w:val="0030256B"/>
    <w:rsid w:val="0030501F"/>
    <w:rsid w:val="00307BA1"/>
    <w:rsid w:val="00311702"/>
    <w:rsid w:val="00311E82"/>
    <w:rsid w:val="00313AF5"/>
    <w:rsid w:val="00313FD6"/>
    <w:rsid w:val="003143BD"/>
    <w:rsid w:val="00314BF6"/>
    <w:rsid w:val="00315363"/>
    <w:rsid w:val="003203ED"/>
    <w:rsid w:val="00320809"/>
    <w:rsid w:val="00322C9F"/>
    <w:rsid w:val="00324D23"/>
    <w:rsid w:val="00331751"/>
    <w:rsid w:val="00334579"/>
    <w:rsid w:val="00335858"/>
    <w:rsid w:val="00335C19"/>
    <w:rsid w:val="00336BDA"/>
    <w:rsid w:val="00342BD7"/>
    <w:rsid w:val="00346DB5"/>
    <w:rsid w:val="003477B1"/>
    <w:rsid w:val="00357380"/>
    <w:rsid w:val="003602D9"/>
    <w:rsid w:val="003604CE"/>
    <w:rsid w:val="00370E47"/>
    <w:rsid w:val="003742AC"/>
    <w:rsid w:val="003768CD"/>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288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43B7"/>
    <w:rsid w:val="00437447"/>
    <w:rsid w:val="00441A92"/>
    <w:rsid w:val="004431DC"/>
    <w:rsid w:val="00444003"/>
    <w:rsid w:val="00444F56"/>
    <w:rsid w:val="00446488"/>
    <w:rsid w:val="004517AA"/>
    <w:rsid w:val="00452749"/>
    <w:rsid w:val="00452CAC"/>
    <w:rsid w:val="00457565"/>
    <w:rsid w:val="00457B71"/>
    <w:rsid w:val="00464689"/>
    <w:rsid w:val="004669E2"/>
    <w:rsid w:val="00470C31"/>
    <w:rsid w:val="00471DE0"/>
    <w:rsid w:val="004734D0"/>
    <w:rsid w:val="0047556B"/>
    <w:rsid w:val="00477768"/>
    <w:rsid w:val="00490930"/>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28C8"/>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56A2"/>
    <w:rsid w:val="0058798C"/>
    <w:rsid w:val="005900AB"/>
    <w:rsid w:val="005900FA"/>
    <w:rsid w:val="005935A4"/>
    <w:rsid w:val="005948C2"/>
    <w:rsid w:val="00595DCA"/>
    <w:rsid w:val="0059779B"/>
    <w:rsid w:val="005A209A"/>
    <w:rsid w:val="005A5378"/>
    <w:rsid w:val="005A662D"/>
    <w:rsid w:val="005B1409"/>
    <w:rsid w:val="005B35D7"/>
    <w:rsid w:val="005B392A"/>
    <w:rsid w:val="005B3AA3"/>
    <w:rsid w:val="005B6F83"/>
    <w:rsid w:val="005B794E"/>
    <w:rsid w:val="005C03BC"/>
    <w:rsid w:val="005C0F3B"/>
    <w:rsid w:val="005C74FB"/>
    <w:rsid w:val="005D1602"/>
    <w:rsid w:val="005E385F"/>
    <w:rsid w:val="005E5B81"/>
    <w:rsid w:val="005F2CB1"/>
    <w:rsid w:val="005F3025"/>
    <w:rsid w:val="005F3D47"/>
    <w:rsid w:val="005F618C"/>
    <w:rsid w:val="005F70BD"/>
    <w:rsid w:val="0060283C"/>
    <w:rsid w:val="0060448E"/>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606"/>
    <w:rsid w:val="00671651"/>
    <w:rsid w:val="0067218F"/>
    <w:rsid w:val="006741F2"/>
    <w:rsid w:val="00674CC3"/>
    <w:rsid w:val="00675C72"/>
    <w:rsid w:val="006771F9"/>
    <w:rsid w:val="006776D7"/>
    <w:rsid w:val="00681003"/>
    <w:rsid w:val="006817C9"/>
    <w:rsid w:val="00683ECE"/>
    <w:rsid w:val="00695FC2"/>
    <w:rsid w:val="00696949"/>
    <w:rsid w:val="00697052"/>
    <w:rsid w:val="006A2100"/>
    <w:rsid w:val="006A46FB"/>
    <w:rsid w:val="006A5E28"/>
    <w:rsid w:val="006A697B"/>
    <w:rsid w:val="006A7AFF"/>
    <w:rsid w:val="006B1816"/>
    <w:rsid w:val="006B2099"/>
    <w:rsid w:val="006B50CF"/>
    <w:rsid w:val="006C03B8"/>
    <w:rsid w:val="006C5EC9"/>
    <w:rsid w:val="006C6059"/>
    <w:rsid w:val="006C7522"/>
    <w:rsid w:val="006D19FF"/>
    <w:rsid w:val="006D6F08"/>
    <w:rsid w:val="006E062C"/>
    <w:rsid w:val="006E1C82"/>
    <w:rsid w:val="006E28B7"/>
    <w:rsid w:val="006E2A9B"/>
    <w:rsid w:val="006E3310"/>
    <w:rsid w:val="006E4E39"/>
    <w:rsid w:val="006E565E"/>
    <w:rsid w:val="006E673D"/>
    <w:rsid w:val="006E7D3B"/>
    <w:rsid w:val="006F0EDE"/>
    <w:rsid w:val="006F1B70"/>
    <w:rsid w:val="006F1F33"/>
    <w:rsid w:val="006F2DC7"/>
    <w:rsid w:val="006F341D"/>
    <w:rsid w:val="006F3CDE"/>
    <w:rsid w:val="006F581A"/>
    <w:rsid w:val="006F58D4"/>
    <w:rsid w:val="006F6582"/>
    <w:rsid w:val="0070346E"/>
    <w:rsid w:val="00704EDB"/>
    <w:rsid w:val="00704F4A"/>
    <w:rsid w:val="00706101"/>
    <w:rsid w:val="00707072"/>
    <w:rsid w:val="00707D61"/>
    <w:rsid w:val="00710911"/>
    <w:rsid w:val="007112EE"/>
    <w:rsid w:val="00712287"/>
    <w:rsid w:val="00712772"/>
    <w:rsid w:val="007148D3"/>
    <w:rsid w:val="00715B9A"/>
    <w:rsid w:val="00721B32"/>
    <w:rsid w:val="00723F4B"/>
    <w:rsid w:val="007257D0"/>
    <w:rsid w:val="007267F4"/>
    <w:rsid w:val="00726EA6"/>
    <w:rsid w:val="00727208"/>
    <w:rsid w:val="00727680"/>
    <w:rsid w:val="007302EB"/>
    <w:rsid w:val="007348B1"/>
    <w:rsid w:val="00734C76"/>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420"/>
    <w:rsid w:val="00780A80"/>
    <w:rsid w:val="0078177E"/>
    <w:rsid w:val="0078304C"/>
    <w:rsid w:val="00783673"/>
    <w:rsid w:val="00785490"/>
    <w:rsid w:val="007925EA"/>
    <w:rsid w:val="00793CD8"/>
    <w:rsid w:val="00794552"/>
    <w:rsid w:val="00795C92"/>
    <w:rsid w:val="00796231"/>
    <w:rsid w:val="00797173"/>
    <w:rsid w:val="007A19DA"/>
    <w:rsid w:val="007A1CB3"/>
    <w:rsid w:val="007A306F"/>
    <w:rsid w:val="007A43A6"/>
    <w:rsid w:val="007A44B6"/>
    <w:rsid w:val="007A58A6"/>
    <w:rsid w:val="007B23C8"/>
    <w:rsid w:val="007B3D2D"/>
    <w:rsid w:val="007B50AE"/>
    <w:rsid w:val="007B51DF"/>
    <w:rsid w:val="007B615F"/>
    <w:rsid w:val="007C05DD"/>
    <w:rsid w:val="007C3D18"/>
    <w:rsid w:val="007C60BF"/>
    <w:rsid w:val="007C6A07"/>
    <w:rsid w:val="007C75A1"/>
    <w:rsid w:val="007C77A5"/>
    <w:rsid w:val="007D04E5"/>
    <w:rsid w:val="007D5901"/>
    <w:rsid w:val="007D7526"/>
    <w:rsid w:val="007E4610"/>
    <w:rsid w:val="007E4715"/>
    <w:rsid w:val="007E505B"/>
    <w:rsid w:val="007E7091"/>
    <w:rsid w:val="007F0CC8"/>
    <w:rsid w:val="007F16AE"/>
    <w:rsid w:val="0080124F"/>
    <w:rsid w:val="00803FAE"/>
    <w:rsid w:val="0080605F"/>
    <w:rsid w:val="00807786"/>
    <w:rsid w:val="00811FCB"/>
    <w:rsid w:val="00812365"/>
    <w:rsid w:val="008158D6"/>
    <w:rsid w:val="00817196"/>
    <w:rsid w:val="008235DB"/>
    <w:rsid w:val="00824AB4"/>
    <w:rsid w:val="00825C42"/>
    <w:rsid w:val="00825D25"/>
    <w:rsid w:val="00827D6F"/>
    <w:rsid w:val="008376AC"/>
    <w:rsid w:val="008444E8"/>
    <w:rsid w:val="00844E80"/>
    <w:rsid w:val="00846FE7"/>
    <w:rsid w:val="00854AFA"/>
    <w:rsid w:val="00856911"/>
    <w:rsid w:val="0085714F"/>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12AC"/>
    <w:rsid w:val="008D34F1"/>
    <w:rsid w:val="008D39D8"/>
    <w:rsid w:val="008D6D1A"/>
    <w:rsid w:val="008E065E"/>
    <w:rsid w:val="008E0927"/>
    <w:rsid w:val="008E1909"/>
    <w:rsid w:val="008F1C4E"/>
    <w:rsid w:val="008F1EAB"/>
    <w:rsid w:val="008F33DC"/>
    <w:rsid w:val="008F477F"/>
    <w:rsid w:val="008F7F6C"/>
    <w:rsid w:val="00902350"/>
    <w:rsid w:val="0090336B"/>
    <w:rsid w:val="009053AA"/>
    <w:rsid w:val="00906939"/>
    <w:rsid w:val="00910B7D"/>
    <w:rsid w:val="00911DFB"/>
    <w:rsid w:val="009139D9"/>
    <w:rsid w:val="00914AD8"/>
    <w:rsid w:val="00915976"/>
    <w:rsid w:val="00916079"/>
    <w:rsid w:val="00917CE9"/>
    <w:rsid w:val="0092075B"/>
    <w:rsid w:val="00920BF2"/>
    <w:rsid w:val="00922010"/>
    <w:rsid w:val="00931BD9"/>
    <w:rsid w:val="009368F3"/>
    <w:rsid w:val="00941636"/>
    <w:rsid w:val="00943004"/>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296A"/>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2D66"/>
    <w:rsid w:val="00A031D8"/>
    <w:rsid w:val="00A048A8"/>
    <w:rsid w:val="00A04F49"/>
    <w:rsid w:val="00A13E54"/>
    <w:rsid w:val="00A17F63"/>
    <w:rsid w:val="00A2193B"/>
    <w:rsid w:val="00A2351A"/>
    <w:rsid w:val="00A264A9"/>
    <w:rsid w:val="00A26DCF"/>
    <w:rsid w:val="00A27785"/>
    <w:rsid w:val="00A30187"/>
    <w:rsid w:val="00A33494"/>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230"/>
    <w:rsid w:val="00AD0AA3"/>
    <w:rsid w:val="00AD2ED0"/>
    <w:rsid w:val="00AD3F94"/>
    <w:rsid w:val="00AD4A5A"/>
    <w:rsid w:val="00AD75DA"/>
    <w:rsid w:val="00AE27AC"/>
    <w:rsid w:val="00AE40E0"/>
    <w:rsid w:val="00AE4DBA"/>
    <w:rsid w:val="00AE4F07"/>
    <w:rsid w:val="00AF1C5D"/>
    <w:rsid w:val="00AF2169"/>
    <w:rsid w:val="00AF42D7"/>
    <w:rsid w:val="00AF5470"/>
    <w:rsid w:val="00B006FE"/>
    <w:rsid w:val="00B007CB"/>
    <w:rsid w:val="00B02AA9"/>
    <w:rsid w:val="00B02FA3"/>
    <w:rsid w:val="00B05084"/>
    <w:rsid w:val="00B15218"/>
    <w:rsid w:val="00B157F9"/>
    <w:rsid w:val="00B20256"/>
    <w:rsid w:val="00B20876"/>
    <w:rsid w:val="00B20D09"/>
    <w:rsid w:val="00B2757F"/>
    <w:rsid w:val="00B2763F"/>
    <w:rsid w:val="00B27AAC"/>
    <w:rsid w:val="00B30929"/>
    <w:rsid w:val="00B372AA"/>
    <w:rsid w:val="00B40445"/>
    <w:rsid w:val="00B409E0"/>
    <w:rsid w:val="00B41888"/>
    <w:rsid w:val="00B45A52"/>
    <w:rsid w:val="00B46175"/>
    <w:rsid w:val="00B471BB"/>
    <w:rsid w:val="00B548B7"/>
    <w:rsid w:val="00B664C7"/>
    <w:rsid w:val="00B713D8"/>
    <w:rsid w:val="00B739F6"/>
    <w:rsid w:val="00B74E38"/>
    <w:rsid w:val="00B81134"/>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4054"/>
    <w:rsid w:val="00BE7406"/>
    <w:rsid w:val="00BE7603"/>
    <w:rsid w:val="00BF3279"/>
    <w:rsid w:val="00BF74C7"/>
    <w:rsid w:val="00C015F1"/>
    <w:rsid w:val="00C01F33"/>
    <w:rsid w:val="00C02CC6"/>
    <w:rsid w:val="00C040F7"/>
    <w:rsid w:val="00C044AB"/>
    <w:rsid w:val="00C05706"/>
    <w:rsid w:val="00C07377"/>
    <w:rsid w:val="00C10478"/>
    <w:rsid w:val="00C12107"/>
    <w:rsid w:val="00C13511"/>
    <w:rsid w:val="00C14D4B"/>
    <w:rsid w:val="00C154BB"/>
    <w:rsid w:val="00C279A7"/>
    <w:rsid w:val="00C279B5"/>
    <w:rsid w:val="00C27C45"/>
    <w:rsid w:val="00C3719D"/>
    <w:rsid w:val="00C37CB2"/>
    <w:rsid w:val="00C45C5E"/>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0778"/>
    <w:rsid w:val="00C90E46"/>
    <w:rsid w:val="00C92F40"/>
    <w:rsid w:val="00C93814"/>
    <w:rsid w:val="00C93ADA"/>
    <w:rsid w:val="00C93C4B"/>
    <w:rsid w:val="00C944AB"/>
    <w:rsid w:val="00C95B40"/>
    <w:rsid w:val="00CA1ED8"/>
    <w:rsid w:val="00CA3246"/>
    <w:rsid w:val="00CA356E"/>
    <w:rsid w:val="00CB01AE"/>
    <w:rsid w:val="00CB1F63"/>
    <w:rsid w:val="00CB6C0E"/>
    <w:rsid w:val="00CB7170"/>
    <w:rsid w:val="00CC040E"/>
    <w:rsid w:val="00CC111F"/>
    <w:rsid w:val="00CC2011"/>
    <w:rsid w:val="00CC3EA0"/>
    <w:rsid w:val="00CC5AB3"/>
    <w:rsid w:val="00CC7B45"/>
    <w:rsid w:val="00CD1188"/>
    <w:rsid w:val="00CD2ED1"/>
    <w:rsid w:val="00CD337B"/>
    <w:rsid w:val="00CE0424"/>
    <w:rsid w:val="00CE6A01"/>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73F0"/>
    <w:rsid w:val="00D708B0"/>
    <w:rsid w:val="00D77B1D"/>
    <w:rsid w:val="00D77D6B"/>
    <w:rsid w:val="00D8021F"/>
    <w:rsid w:val="00D80383"/>
    <w:rsid w:val="00D823C6"/>
    <w:rsid w:val="00D8327F"/>
    <w:rsid w:val="00D86CA3"/>
    <w:rsid w:val="00D871CE"/>
    <w:rsid w:val="00D91376"/>
    <w:rsid w:val="00D9196D"/>
    <w:rsid w:val="00D92982"/>
    <w:rsid w:val="00DA305E"/>
    <w:rsid w:val="00DA5417"/>
    <w:rsid w:val="00DA56E8"/>
    <w:rsid w:val="00DB0A9F"/>
    <w:rsid w:val="00DB2472"/>
    <w:rsid w:val="00DB377D"/>
    <w:rsid w:val="00DC2D36"/>
    <w:rsid w:val="00DC364E"/>
    <w:rsid w:val="00DC53EF"/>
    <w:rsid w:val="00DD18C6"/>
    <w:rsid w:val="00DD5035"/>
    <w:rsid w:val="00DE5608"/>
    <w:rsid w:val="00DE58D0"/>
    <w:rsid w:val="00DE654F"/>
    <w:rsid w:val="00DF0B6E"/>
    <w:rsid w:val="00DF15E0"/>
    <w:rsid w:val="00DF37A0"/>
    <w:rsid w:val="00DF5F53"/>
    <w:rsid w:val="00E110E7"/>
    <w:rsid w:val="00E11B20"/>
    <w:rsid w:val="00E139B2"/>
    <w:rsid w:val="00E17FA2"/>
    <w:rsid w:val="00E22330"/>
    <w:rsid w:val="00E30B5A"/>
    <w:rsid w:val="00E3123D"/>
    <w:rsid w:val="00E31461"/>
    <w:rsid w:val="00E31D43"/>
    <w:rsid w:val="00E32608"/>
    <w:rsid w:val="00E34188"/>
    <w:rsid w:val="00E34B6E"/>
    <w:rsid w:val="00E35559"/>
    <w:rsid w:val="00E35F97"/>
    <w:rsid w:val="00E3723A"/>
    <w:rsid w:val="00E37860"/>
    <w:rsid w:val="00E37DF2"/>
    <w:rsid w:val="00E446F1"/>
    <w:rsid w:val="00E46886"/>
    <w:rsid w:val="00E47AEF"/>
    <w:rsid w:val="00E47BD3"/>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6C1"/>
    <w:rsid w:val="00E9291C"/>
    <w:rsid w:val="00E93FFE"/>
    <w:rsid w:val="00E94F8A"/>
    <w:rsid w:val="00EA62A2"/>
    <w:rsid w:val="00EA7A41"/>
    <w:rsid w:val="00EB077B"/>
    <w:rsid w:val="00EB4EA2"/>
    <w:rsid w:val="00EC24D5"/>
    <w:rsid w:val="00EC27C6"/>
    <w:rsid w:val="00EC4207"/>
    <w:rsid w:val="00EC5653"/>
    <w:rsid w:val="00EC71CE"/>
    <w:rsid w:val="00EC7371"/>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4849"/>
    <w:rsid w:val="00F256C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5CB6"/>
    <w:rsid w:val="00F67F53"/>
    <w:rsid w:val="00F703BE"/>
    <w:rsid w:val="00F71F69"/>
    <w:rsid w:val="00F72B72"/>
    <w:rsid w:val="00F74BB9"/>
    <w:rsid w:val="00F75582"/>
    <w:rsid w:val="00F76664"/>
    <w:rsid w:val="00F76EFA"/>
    <w:rsid w:val="00F804BE"/>
    <w:rsid w:val="00F817CE"/>
    <w:rsid w:val="00F8456C"/>
    <w:rsid w:val="00F859D8"/>
    <w:rsid w:val="00F868F5"/>
    <w:rsid w:val="00F9056A"/>
    <w:rsid w:val="00F90F8D"/>
    <w:rsid w:val="00F92782"/>
    <w:rsid w:val="00F92D49"/>
    <w:rsid w:val="00F93AA9"/>
    <w:rsid w:val="00F96985"/>
    <w:rsid w:val="00F97838"/>
    <w:rsid w:val="00FA19F2"/>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206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D03A523B-F5F4-46D5-B179-1F983FFB7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3768CD"/>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4</Pages>
  <Words>1072</Words>
  <Characters>6114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111</cp:revision>
  <cp:lastPrinted>2008-01-31T07:09:00Z</cp:lastPrinted>
  <dcterms:created xsi:type="dcterms:W3CDTF">2020-08-13T21:21:00Z</dcterms:created>
  <dcterms:modified xsi:type="dcterms:W3CDTF">2023-02-17T18:21:00Z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